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RRSO 13,22% na Ceneo.pl - szukaj, sprawdzaj, wybieraj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Instytucje bankowe i pozabankowe kuszą nas swoimi ofertami. Pół roku bez spłaty, raty 0% i popularne chwilówki - bez formalności i w 15 minut. Którą z nich wybrać i jak nie zagubić się w gąszczu ofert?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 RRSO?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sferze finansów nie trudno wpaść w gęstą nić niejasności i skomplikowanych sformułowań. Jednym z najpowszechniejszych i niełatwych do zrozumienia dla przeciętnego Kowalskiego jest RRSO. Informacja tego typu pojawia się najczęściej na ulotkach, bilbordach i w reklamach instytucji finansowych. W rzeczywistości jest to akronim wyrażenia rzeczywista roczna stopa oprocentowania. Innymi słowy - koszty jakie pożyczkobiorca ponosi wskutek podjęcia kredytu. Jej składową są oprocentowanie, odsetki oraz inne czynniki wpływające na jej możliwy wzrost (najczęściej wahający się kurs).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13,22% na Ceneo.pl - wybierz i porównaj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Zanim podpiszesz umowę, sprawdź czy pożyczkodawca jest uczciwy i nie wprowadza Cię w błąd. Zgodnie z ustawą kredytodawca powinien podać do informacji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RRSO.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RRSO 13,22%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rozeznanie na rynku bankowym. Sprawdź, kto oferuje swoje usługi i czy warto z nich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rozwiejesz nurtujące Cię pytania i znajdziesz wiarygodne opinie klientów, którzy podjęli fundusze z wybranej instytucji. Warto zaznaczyć, ze pieniądze uzyskane w ten sposób są bezpieczniejszą formą pomocy niż chwilówki lub pożyczki bez dowodu. Dzięki informacji o wysokości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RRSO</w:t>
      </w:r>
      <w:r>
        <w:rPr>
          <w:rFonts w:ascii="calibri" w:hAnsi="calibri" w:eastAsia="calibri" w:cs="calibri"/>
          <w:sz w:val="24"/>
          <w:szCs w:val="24"/>
        </w:rPr>
        <w:t xml:space="preserve">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13,22%</w:t>
      </w:r>
      <w:r>
        <w:rPr>
          <w:rFonts w:ascii="calibri" w:hAnsi="calibri" w:eastAsia="calibri" w:cs="calibri"/>
          <w:sz w:val="24"/>
          <w:szCs w:val="24"/>
        </w:rPr>
        <w:t xml:space="preserve">, klient ma pewność, że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gotówkowy</w:t>
      </w:r>
      <w:r>
        <w:rPr>
          <w:rFonts w:ascii="calibri" w:hAnsi="calibri" w:eastAsia="calibri" w:cs="calibri"/>
          <w:sz w:val="24"/>
          <w:szCs w:val="24"/>
        </w:rPr>
        <w:t xml:space="preserve"> zapłaci określoną wartość, a ryzyko zmiany należności jest niewielkie. Sprawdzaj na bieżąco nowe podmioty na Ceneo.pl i przeznacz środki na dowolny cel!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22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2026-05-30T22:58:54+02:00</dcterms:created>
  <dcterms:modified xsi:type="dcterms:W3CDTF">2026-05-30T22:58:54+02:00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